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E8" w:rsidRDefault="004F5E9D" w:rsidP="00A8793F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5pt;height:51pt">
            <v:shadow color="#868686"/>
            <v:textpath style="font-family:&quot;Arial Black&quot;;v-text-kern:t" trim="t" fitpath="t" string="NEOCLASSICISMO"/>
          </v:shape>
        </w:pict>
      </w:r>
    </w:p>
    <w:p w:rsidR="00A8793F" w:rsidRDefault="00A8793F" w:rsidP="00A8793F">
      <w:pPr>
        <w:jc w:val="center"/>
      </w:pPr>
    </w:p>
    <w:p w:rsidR="00A8793F" w:rsidRDefault="00A8793F" w:rsidP="00A8793F">
      <w:pPr>
        <w:jc w:val="center"/>
      </w:pPr>
    </w:p>
    <w:p w:rsidR="00704621" w:rsidRDefault="007837E8" w:rsidP="00704621">
      <w:pPr>
        <w:jc w:val="center"/>
        <w:rPr>
          <w:sz w:val="28"/>
          <w:u w:val="single"/>
        </w:rPr>
      </w:pPr>
      <w:r w:rsidRPr="000B7BA8">
        <w:rPr>
          <w:sz w:val="28"/>
          <w:u w:val="single"/>
        </w:rPr>
        <w:t>QUANDO:</w:t>
      </w:r>
      <w:r w:rsidRPr="000B7BA8">
        <w:rPr>
          <w:sz w:val="28"/>
        </w:rPr>
        <w:t xml:space="preserve"> </w:t>
      </w:r>
      <w:r>
        <w:t>A partire dalla seconda metà del Settecento</w:t>
      </w:r>
      <w:r w:rsidR="00704621" w:rsidRPr="00704621">
        <w:rPr>
          <w:sz w:val="28"/>
          <w:u w:val="single"/>
        </w:rPr>
        <w:t xml:space="preserve"> </w:t>
      </w:r>
    </w:p>
    <w:p w:rsidR="00704621" w:rsidRDefault="00704621" w:rsidP="00704621">
      <w:pPr>
        <w:jc w:val="center"/>
      </w:pPr>
      <w:r w:rsidRPr="000B7BA8">
        <w:rPr>
          <w:sz w:val="28"/>
          <w:u w:val="single"/>
        </w:rPr>
        <w:t>DOVE</w:t>
      </w:r>
      <w:r w:rsidRPr="007837E8">
        <w:rPr>
          <w:b/>
          <w:u w:val="single"/>
        </w:rPr>
        <w:t>:</w:t>
      </w:r>
      <w:r>
        <w:t xml:space="preserve"> Dall’Europa agli Stati Uniti, alla Russia</w:t>
      </w:r>
    </w:p>
    <w:p w:rsidR="00704621" w:rsidRDefault="00704621" w:rsidP="00704621">
      <w:pPr>
        <w:jc w:val="center"/>
        <w:rPr>
          <w:sz w:val="28"/>
          <w:u w:val="single"/>
        </w:rPr>
      </w:pPr>
      <w:r w:rsidRPr="00704621">
        <w:rPr>
          <w:sz w:val="28"/>
          <w:u w:val="single"/>
        </w:rPr>
        <w:t>COSA:</w:t>
      </w:r>
      <w:r>
        <w:rPr>
          <w:sz w:val="28"/>
          <w:u w:val="single"/>
        </w:rPr>
        <w:t xml:space="preserve"> </w:t>
      </w:r>
      <w:r w:rsidRPr="00704621">
        <w:t>movimento letterario e artistico</w:t>
      </w:r>
      <w:r w:rsidRPr="00704621">
        <w:rPr>
          <w:sz w:val="28"/>
          <w:u w:val="single"/>
        </w:rPr>
        <w:t xml:space="preserve"> </w:t>
      </w:r>
    </w:p>
    <w:p w:rsidR="007837E8" w:rsidRDefault="00704621" w:rsidP="00704621">
      <w:pPr>
        <w:jc w:val="center"/>
      </w:pPr>
      <w:r w:rsidRPr="000B7BA8">
        <w:rPr>
          <w:sz w:val="28"/>
          <w:u w:val="single"/>
        </w:rPr>
        <w:t>PERCHE’:</w:t>
      </w:r>
      <w:r w:rsidRPr="000B7BA8">
        <w:rPr>
          <w:sz w:val="28"/>
        </w:rPr>
        <w:t xml:space="preserve"> </w:t>
      </w:r>
      <w:r>
        <w:t>In contrapposizione alla bizzarria e irregolarità del Barocco (perla irregolare) e Rococò (conchiglia), gusto frivolo dell’aristocrazia,gli  ideali progressisti della borghesia in ascesa (Neoclassicismo)</w:t>
      </w:r>
    </w:p>
    <w:p w:rsidR="007837E8" w:rsidRDefault="00704621" w:rsidP="00A8793F">
      <w:pPr>
        <w:jc w:val="center"/>
      </w:pPr>
      <w:r>
        <w:rPr>
          <w:sz w:val="28"/>
          <w:u w:val="single"/>
        </w:rPr>
        <w:t>COME</w:t>
      </w:r>
      <w:r w:rsidR="007837E8" w:rsidRPr="000B7BA8">
        <w:rPr>
          <w:sz w:val="28"/>
          <w:u w:val="single"/>
        </w:rPr>
        <w:t>:</w:t>
      </w:r>
      <w:r w:rsidR="007837E8" w:rsidRPr="000B7BA8">
        <w:rPr>
          <w:sz w:val="28"/>
        </w:rPr>
        <w:t xml:space="preserve"> </w:t>
      </w:r>
      <w:r w:rsidR="007837E8">
        <w:t>In stretto rapporto con il diffondersi del pensiero Illuminista</w:t>
      </w:r>
      <w:r w:rsidR="00A8793F">
        <w:t>;</w:t>
      </w:r>
    </w:p>
    <w:p w:rsidR="007837E8" w:rsidRDefault="007837E8" w:rsidP="00A8793F">
      <w:pPr>
        <w:jc w:val="center"/>
      </w:pPr>
      <w:r>
        <w:t>maggiore razionalità in campo artistico</w:t>
      </w:r>
      <w:r w:rsidR="00A8793F">
        <w:t>;</w:t>
      </w:r>
    </w:p>
    <w:p w:rsidR="007837E8" w:rsidRDefault="00A8793F" w:rsidP="00A8793F">
      <w:pPr>
        <w:jc w:val="center"/>
      </w:pPr>
      <w:r>
        <w:t>l</w:t>
      </w:r>
      <w:r w:rsidR="007837E8">
        <w:t>’arte è uno strumento di educazione morale e civile della collettività</w:t>
      </w:r>
      <w:r>
        <w:t>;</w:t>
      </w:r>
    </w:p>
    <w:p w:rsidR="007837E8" w:rsidRDefault="00A8793F" w:rsidP="00A8793F">
      <w:pPr>
        <w:jc w:val="center"/>
      </w:pPr>
      <w:r>
        <w:t>t</w:t>
      </w:r>
      <w:r w:rsidR="007837E8">
        <w:t>rae i modelli dalla cultura classica dell’arte greca e romana (</w:t>
      </w:r>
      <w:proofErr w:type="spellStart"/>
      <w:r w:rsidR="007837E8">
        <w:t>neo=</w:t>
      </w:r>
      <w:proofErr w:type="spellEnd"/>
      <w:r w:rsidR="007837E8">
        <w:t xml:space="preserve"> nuovo, </w:t>
      </w:r>
      <w:proofErr w:type="spellStart"/>
      <w:r w:rsidR="007837E8">
        <w:t>classicismo=</w:t>
      </w:r>
      <w:proofErr w:type="spellEnd"/>
      <w:r w:rsidR="007837E8">
        <w:t xml:space="preserve"> gusto del classico)</w:t>
      </w:r>
      <w:r>
        <w:t>.</w:t>
      </w:r>
    </w:p>
    <w:p w:rsidR="00A8793F" w:rsidRDefault="007837E8" w:rsidP="00A8793F">
      <w:pPr>
        <w:jc w:val="center"/>
      </w:pPr>
      <w:r w:rsidRPr="000B7BA8">
        <w:rPr>
          <w:sz w:val="28"/>
          <w:u w:val="single"/>
        </w:rPr>
        <w:t>CHI:</w:t>
      </w:r>
      <w:r w:rsidRPr="000B7BA8">
        <w:rPr>
          <w:sz w:val="28"/>
        </w:rPr>
        <w:t xml:space="preserve"> </w:t>
      </w:r>
      <w:r>
        <w:t>(Artisti)</w:t>
      </w:r>
    </w:p>
    <w:p w:rsidR="007837E8" w:rsidRDefault="007837E8" w:rsidP="00A8793F">
      <w:pPr>
        <w:pStyle w:val="Paragrafoelenco"/>
        <w:numPr>
          <w:ilvl w:val="0"/>
          <w:numId w:val="3"/>
        </w:numPr>
        <w:jc w:val="center"/>
      </w:pPr>
      <w:r w:rsidRPr="00A8793F">
        <w:rPr>
          <w:sz w:val="28"/>
        </w:rPr>
        <w:t>SCULTURA</w:t>
      </w:r>
      <w:r w:rsidR="00A8793F">
        <w:rPr>
          <w:sz w:val="28"/>
        </w:rPr>
        <w:t xml:space="preserve">: </w:t>
      </w:r>
      <w:r>
        <w:t xml:space="preserve"> </w:t>
      </w:r>
      <w:r w:rsidRPr="00A8793F">
        <w:rPr>
          <w:b/>
          <w:color w:val="C00000"/>
          <w:sz w:val="24"/>
          <w:szCs w:val="24"/>
          <w:u w:val="single"/>
        </w:rPr>
        <w:t xml:space="preserve">Antonio </w:t>
      </w:r>
      <w:proofErr w:type="spellStart"/>
      <w:r w:rsidRPr="00A8793F">
        <w:rPr>
          <w:b/>
          <w:color w:val="C00000"/>
          <w:sz w:val="24"/>
          <w:szCs w:val="24"/>
          <w:u w:val="single"/>
        </w:rPr>
        <w:t>Canova</w:t>
      </w:r>
      <w:proofErr w:type="spellEnd"/>
      <w:r>
        <w:t xml:space="preserve"> Tuttotondo con sistema meccanico di rotazione</w:t>
      </w:r>
      <w:r w:rsidR="00A8793F">
        <w:t xml:space="preserve">; </w:t>
      </w:r>
      <w:r>
        <w:t>Marmo levigato</w:t>
      </w:r>
      <w:r w:rsidR="00A8793F">
        <w:t xml:space="preserve">; </w:t>
      </w:r>
      <w:r>
        <w:t>Cera rosata</w:t>
      </w:r>
    </w:p>
    <w:p w:rsidR="007837E8" w:rsidRDefault="007837E8" w:rsidP="00A8793F">
      <w:pPr>
        <w:pStyle w:val="Paragrafoelenco"/>
        <w:numPr>
          <w:ilvl w:val="0"/>
          <w:numId w:val="3"/>
        </w:numPr>
      </w:pPr>
      <w:r w:rsidRPr="00A8793F">
        <w:rPr>
          <w:sz w:val="28"/>
        </w:rPr>
        <w:t>ARCHITETTURA:</w:t>
      </w:r>
      <w:r>
        <w:t xml:space="preserve">  costruzioni austere, semplicità, razionalità, simmetria , linea retta, monumentalità</w:t>
      </w:r>
    </w:p>
    <w:p w:rsidR="00A8793F" w:rsidRDefault="007837E8" w:rsidP="00A8793F">
      <w:pPr>
        <w:pStyle w:val="Puntoelenco"/>
        <w:numPr>
          <w:ilvl w:val="0"/>
          <w:numId w:val="3"/>
        </w:numPr>
        <w:rPr>
          <w:b/>
          <w:color w:val="00B050"/>
          <w:sz w:val="24"/>
          <w:szCs w:val="24"/>
        </w:rPr>
      </w:pPr>
      <w:r w:rsidRPr="00A8793F">
        <w:rPr>
          <w:sz w:val="28"/>
        </w:rPr>
        <w:t xml:space="preserve">PITTURA: </w:t>
      </w:r>
      <w:r w:rsidR="00A8793F" w:rsidRPr="00A8793F">
        <w:rPr>
          <w:b/>
          <w:color w:val="C00000"/>
          <w:sz w:val="24"/>
          <w:szCs w:val="24"/>
          <w:u w:val="single"/>
        </w:rPr>
        <w:t xml:space="preserve">Jacques  Louis </w:t>
      </w:r>
      <w:r w:rsidRPr="00A8793F">
        <w:rPr>
          <w:b/>
          <w:color w:val="C00000"/>
          <w:sz w:val="24"/>
          <w:szCs w:val="24"/>
          <w:u w:val="single"/>
        </w:rPr>
        <w:t xml:space="preserve"> David</w:t>
      </w:r>
      <w:r w:rsidR="00A8793F" w:rsidRPr="00A8793F">
        <w:rPr>
          <w:sz w:val="24"/>
          <w:szCs w:val="24"/>
        </w:rPr>
        <w:t>,</w:t>
      </w:r>
      <w:r w:rsidR="00A8793F">
        <w:t xml:space="preserve"> </w:t>
      </w:r>
      <w:r w:rsidR="00A8793F" w:rsidRPr="00A8793F">
        <w:rPr>
          <w:b/>
          <w:color w:val="00B050"/>
          <w:sz w:val="24"/>
          <w:szCs w:val="24"/>
        </w:rPr>
        <w:t xml:space="preserve">“Giuramento degli </w:t>
      </w:r>
      <w:proofErr w:type="spellStart"/>
      <w:r w:rsidR="00A8793F" w:rsidRPr="00A8793F">
        <w:rPr>
          <w:b/>
          <w:color w:val="00B050"/>
          <w:sz w:val="24"/>
          <w:szCs w:val="24"/>
        </w:rPr>
        <w:t>Orazi</w:t>
      </w:r>
      <w:proofErr w:type="spellEnd"/>
      <w:r w:rsidR="00A8793F" w:rsidRPr="00A8793F">
        <w:rPr>
          <w:b/>
          <w:color w:val="00B050"/>
          <w:sz w:val="24"/>
          <w:szCs w:val="24"/>
        </w:rPr>
        <w:t xml:space="preserve">” </w:t>
      </w:r>
    </w:p>
    <w:p w:rsidR="00A8793F" w:rsidRPr="00A8793F" w:rsidRDefault="00A8793F" w:rsidP="00A8793F">
      <w:pPr>
        <w:pStyle w:val="Puntoelenco"/>
        <w:numPr>
          <w:ilvl w:val="0"/>
          <w:numId w:val="0"/>
        </w:num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 </w:t>
      </w: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  <w:t xml:space="preserve">        </w:t>
      </w:r>
      <w:r w:rsidRPr="00A8793F">
        <w:rPr>
          <w:b/>
          <w:color w:val="00B050"/>
          <w:sz w:val="24"/>
          <w:szCs w:val="24"/>
        </w:rPr>
        <w:t xml:space="preserve"> “La morte di Marat”</w:t>
      </w:r>
    </w:p>
    <w:p w:rsidR="007837E8" w:rsidRDefault="007837E8" w:rsidP="00A8793F">
      <w:pPr>
        <w:pStyle w:val="Paragrafoelenco"/>
        <w:ind w:firstLine="696"/>
        <w:jc w:val="center"/>
      </w:pPr>
      <w:r>
        <w:t>eroismo e fierezza,</w:t>
      </w:r>
    </w:p>
    <w:p w:rsidR="007837E8" w:rsidRDefault="007837E8" w:rsidP="00A8793F">
      <w:pPr>
        <w:ind w:left="360"/>
        <w:jc w:val="center"/>
      </w:pPr>
      <w:r>
        <w:t>gusto greco (ritrovamenti archeologici)</w:t>
      </w:r>
    </w:p>
    <w:p w:rsidR="00A8793F" w:rsidRDefault="00A8793F" w:rsidP="00A8793F">
      <w:pPr>
        <w:pStyle w:val="Puntoelenco"/>
        <w:numPr>
          <w:ilvl w:val="0"/>
          <w:numId w:val="0"/>
        </w:numPr>
        <w:ind w:left="1068" w:firstLine="348"/>
        <w:rPr>
          <w:b/>
          <w:color w:val="00B05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</w:t>
      </w:r>
      <w:r w:rsidRPr="00A8793F">
        <w:rPr>
          <w:b/>
          <w:color w:val="C00000"/>
          <w:sz w:val="24"/>
          <w:szCs w:val="24"/>
          <w:u w:val="single"/>
        </w:rPr>
        <w:t>Jean Auguste Dominique</w:t>
      </w:r>
      <w:r w:rsidR="007837E8" w:rsidRPr="00A8793F">
        <w:rPr>
          <w:b/>
          <w:color w:val="C00000"/>
          <w:sz w:val="24"/>
          <w:szCs w:val="24"/>
          <w:u w:val="single"/>
        </w:rPr>
        <w:t xml:space="preserve"> </w:t>
      </w:r>
      <w:proofErr w:type="spellStart"/>
      <w:r w:rsidR="007837E8" w:rsidRPr="00A8793F">
        <w:rPr>
          <w:b/>
          <w:color w:val="C00000"/>
          <w:sz w:val="24"/>
          <w:szCs w:val="24"/>
          <w:u w:val="single"/>
        </w:rPr>
        <w:t>Ingres</w:t>
      </w:r>
      <w:proofErr w:type="spellEnd"/>
      <w:r>
        <w:rPr>
          <w:b/>
          <w:color w:val="C00000"/>
          <w:sz w:val="24"/>
          <w:szCs w:val="24"/>
          <w:u w:val="single"/>
        </w:rPr>
        <w:t xml:space="preserve"> ,</w:t>
      </w:r>
      <w:r>
        <w:t xml:space="preserve"> </w:t>
      </w:r>
      <w:r>
        <w:rPr>
          <w:b/>
          <w:color w:val="00B050"/>
          <w:sz w:val="24"/>
          <w:szCs w:val="24"/>
        </w:rPr>
        <w:t xml:space="preserve"> </w:t>
      </w:r>
      <w:r w:rsidR="007837E8" w:rsidRPr="00A8793F">
        <w:rPr>
          <w:b/>
          <w:color w:val="00B050"/>
          <w:sz w:val="24"/>
          <w:szCs w:val="24"/>
        </w:rPr>
        <w:t xml:space="preserve">“Napoleone I sul trono imperiale” </w:t>
      </w:r>
    </w:p>
    <w:p w:rsidR="007837E8" w:rsidRPr="00A8793F" w:rsidRDefault="00A8793F" w:rsidP="00A8793F">
      <w:pPr>
        <w:pStyle w:val="Puntoelenco"/>
        <w:numPr>
          <w:ilvl w:val="0"/>
          <w:numId w:val="0"/>
        </w:numPr>
        <w:ind w:left="1068" w:firstLine="348"/>
      </w:pPr>
      <w:r>
        <w:rPr>
          <w:b/>
          <w:color w:val="00B050"/>
          <w:sz w:val="24"/>
          <w:szCs w:val="24"/>
        </w:rPr>
        <w:t xml:space="preserve"> </w:t>
      </w: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  <w:t xml:space="preserve">    </w:t>
      </w:r>
      <w:r w:rsidR="007837E8" w:rsidRPr="00A8793F">
        <w:rPr>
          <w:b/>
          <w:color w:val="00B050"/>
          <w:sz w:val="24"/>
          <w:szCs w:val="24"/>
        </w:rPr>
        <w:t>“Napoleone valica il San Bernardo”</w:t>
      </w:r>
    </w:p>
    <w:p w:rsidR="007837E8" w:rsidRDefault="007837E8" w:rsidP="00A8793F">
      <w:pPr>
        <w:pStyle w:val="Puntoelenco"/>
        <w:numPr>
          <w:ilvl w:val="0"/>
          <w:numId w:val="0"/>
        </w:numPr>
        <w:ind w:left="360"/>
        <w:jc w:val="center"/>
      </w:pPr>
    </w:p>
    <w:p w:rsidR="007837E8" w:rsidRDefault="007837E8" w:rsidP="00A8793F">
      <w:pPr>
        <w:jc w:val="center"/>
      </w:pPr>
    </w:p>
    <w:p w:rsidR="007837E8" w:rsidRDefault="007837E8" w:rsidP="00A8793F">
      <w:pPr>
        <w:jc w:val="center"/>
      </w:pPr>
    </w:p>
    <w:p w:rsidR="007837E8" w:rsidRDefault="007837E8" w:rsidP="00A8793F">
      <w:pPr>
        <w:jc w:val="center"/>
      </w:pPr>
    </w:p>
    <w:p w:rsidR="007837E8" w:rsidRDefault="007837E8" w:rsidP="00A8793F">
      <w:pPr>
        <w:jc w:val="center"/>
      </w:pPr>
    </w:p>
    <w:p w:rsidR="007837E8" w:rsidRDefault="007837E8" w:rsidP="00A8793F">
      <w:pPr>
        <w:jc w:val="center"/>
      </w:pPr>
    </w:p>
    <w:sectPr w:rsidR="007837E8" w:rsidSect="00301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60050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A56DB5"/>
    <w:multiLevelType w:val="hybridMultilevel"/>
    <w:tmpl w:val="2A100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F3D54"/>
    <w:multiLevelType w:val="hybridMultilevel"/>
    <w:tmpl w:val="406A7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37E8"/>
    <w:rsid w:val="000B7BA8"/>
    <w:rsid w:val="0030164F"/>
    <w:rsid w:val="004F5E9D"/>
    <w:rsid w:val="00704621"/>
    <w:rsid w:val="007837E8"/>
    <w:rsid w:val="00A8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6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7837E8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A87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2016-11-12T07:39:00Z</dcterms:created>
  <dcterms:modified xsi:type="dcterms:W3CDTF">2016-11-12T08:18:00Z</dcterms:modified>
</cp:coreProperties>
</file>